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80" w:line="600" w:lineRule="atLeast"/>
        <w:jc w:val="center"/>
      </w:pPr>
      <w:r>
        <w:rPr>
          <w:rFonts w:ascii="黑体" w:hAnsi="黑体" w:eastAsia="黑体" w:cs="黑体"/>
          <w:b/>
          <w:color w:val="000000"/>
          <w:sz w:val="44"/>
        </w:rPr>
        <w:t>询价公告</w:t>
      </w:r>
    </w:p>
    <w:p>
      <w:pPr>
        <w:spacing w:before="240" w:after="120" w:line="600" w:lineRule="atLeast"/>
        <w:jc w:val="left"/>
      </w:pPr>
      <w:r>
        <w:rPr>
          <w:rFonts w:ascii="黑体" w:hAnsi="黑体" w:eastAsia="黑体" w:cs="黑体"/>
          <w:b/>
          <w:color w:val="000000"/>
          <w:sz w:val="32"/>
        </w:rPr>
        <w:t>一、项目名称</w:t>
      </w:r>
    </w:p>
    <w:p>
      <w:pPr>
        <w:spacing w:before="0" w:after="0" w:line="560" w:lineRule="atLeast"/>
        <w:ind w:firstLine="640" w:firstLineChars="200"/>
        <w:jc w:val="both"/>
      </w:pPr>
      <w:r>
        <w:rPr>
          <w:rFonts w:ascii="Times New Roman" w:hAnsi="Times New Roman" w:eastAsia="仿宋_GB2312" w:cs="仿宋_GB2312"/>
          <w:b w:val="0"/>
          <w:color w:val="000000"/>
          <w:sz w:val="32"/>
        </w:rPr>
        <w:t>襄阳市物流协会廉洁文化（党群活动）阵地建设项目</w:t>
      </w:r>
    </w:p>
    <w:p>
      <w:pPr>
        <w:spacing w:before="240" w:after="120" w:line="600" w:lineRule="atLeast"/>
        <w:jc w:val="left"/>
      </w:pPr>
      <w:r>
        <w:rPr>
          <w:rFonts w:ascii="黑体" w:hAnsi="黑体" w:eastAsia="黑体" w:cs="黑体"/>
          <w:b/>
          <w:color w:val="000000"/>
          <w:sz w:val="32"/>
        </w:rPr>
        <w:t>二、项目任务</w:t>
      </w:r>
    </w:p>
    <w:p>
      <w:pPr>
        <w:spacing w:before="0" w:after="0" w:line="560" w:lineRule="atLeast"/>
        <w:ind w:firstLine="640" w:firstLineChars="200"/>
        <w:jc w:val="both"/>
      </w:pPr>
      <w:r>
        <w:rPr>
          <w:rFonts w:ascii="Times New Roman" w:hAnsi="Times New Roman" w:eastAsia="仿宋_GB2312" w:cs="仿宋_GB2312"/>
          <w:b w:val="0"/>
          <w:color w:val="000000"/>
          <w:sz w:val="32"/>
        </w:rPr>
        <w:t>根据项目建设的实际需求，需采购具备相应能力的单位承担襄阳市物流协会廉洁文化（党群活动）阵地的设计、制作与安装服务。供应商须先到现场实地测量，在此基础上编制设计方案（含平面布局、效果图），方案经协会审定后再进行制作、安装与施工。</w:t>
      </w:r>
    </w:p>
    <w:p>
      <w:pPr>
        <w:spacing w:before="0" w:after="0" w:line="560" w:lineRule="atLeast"/>
        <w:ind w:firstLine="640" w:firstLineChars="200"/>
        <w:jc w:val="both"/>
      </w:pPr>
      <w:r>
        <w:rPr>
          <w:rFonts w:ascii="Times New Roman" w:hAnsi="Times New Roman" w:eastAsia="仿宋_GB2312" w:cs="仿宋_GB2312"/>
          <w:b w:val="0"/>
          <w:color w:val="000000"/>
          <w:sz w:val="32"/>
        </w:rPr>
        <w:t>建设场地位于东风商用车湖北兴荣亚办公楼三楼（总面积171.8平方米，办公室一间、会议室一间），项目建设内容主要包括：</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 会议室展厅物流行业发展历程及文化介绍展示；</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2. 会议室展厅物流协会形象展示墙；</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3. 会议室展厅物流协会荣誉与文化展示柜；</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4. 会议室展厅党建廉洁文化主题背景墙；</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5. 办公室党建管理及行业自律文化展示墙；</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6. 会议室展厅入党宣誓及廉洁承诺文化展示墙；</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7. 会议室展厅廉洁文化教育宣传栏；</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8. 会议室展厅领导关怀及行业政策宣传栏；</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9. 会议室展厅协会重要活动及党建活动宣传栏；</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10. 会议室展厅会员企业风采及行业标杆展示栏；</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11. 办公室配套座椅；</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12. 会议室多媒体投影仪设备购置；</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13. 相关功能房间墙面及照明等基础设施改造；</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14. 一楼大厅文化导视牌定制与活动指引易拉宝文化展示牌。</w:t>
      </w:r>
    </w:p>
    <w:p>
      <w:pPr>
        <w:spacing w:before="240" w:after="120" w:line="600" w:lineRule="atLeast"/>
        <w:jc w:val="left"/>
      </w:pPr>
      <w:r>
        <w:rPr>
          <w:rFonts w:ascii="黑体" w:hAnsi="黑体" w:eastAsia="黑体" w:cs="黑体"/>
          <w:b/>
          <w:color w:val="000000"/>
          <w:sz w:val="32"/>
        </w:rPr>
        <w:t>三、最高限价</w:t>
      </w:r>
    </w:p>
    <w:p>
      <w:pPr>
        <w:spacing w:before="0" w:after="0" w:line="560" w:lineRule="atLeast"/>
        <w:ind w:firstLine="640" w:firstLineChars="200"/>
        <w:jc w:val="both"/>
      </w:pPr>
      <w:r>
        <w:rPr>
          <w:rFonts w:ascii="Times New Roman" w:hAnsi="Times New Roman" w:eastAsia="仿宋_GB2312" w:cs="仿宋_GB2312"/>
          <w:b w:val="0"/>
          <w:color w:val="000000"/>
          <w:sz w:val="32"/>
        </w:rPr>
        <w:t>总价控制在15万元以内（含设计费及全部制作、安装费用），超过此费用的报价方案为废标。</w:t>
      </w:r>
    </w:p>
    <w:p>
      <w:pPr>
        <w:spacing w:before="240" w:after="120" w:line="600" w:lineRule="atLeast"/>
        <w:jc w:val="left"/>
      </w:pPr>
      <w:r>
        <w:rPr>
          <w:rFonts w:ascii="黑体" w:hAnsi="黑体" w:eastAsia="黑体" w:cs="黑体"/>
          <w:b/>
          <w:color w:val="000000"/>
          <w:sz w:val="32"/>
        </w:rPr>
        <w:t>四、资格要求</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 供应商必须是在中华人民共和国境内注册并取得营业执照的独立法人；</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2. 供应商近三年内未被列入“信用中国”网站失信被执行人、重大税收违法案件当事人、政府采购严重违法失信行为记录名单（提供询价邀请函发出之日以后的查询网页截图并加盖公章）；</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3. 本项目不接受联合体参加询价。</w:t>
      </w:r>
    </w:p>
    <w:p>
      <w:pPr>
        <w:spacing w:before="0" w:after="0" w:line="560" w:lineRule="atLeast"/>
        <w:ind w:firstLine="640" w:firstLineChars="200"/>
        <w:jc w:val="both"/>
      </w:pPr>
      <w:r>
        <w:rPr>
          <w:rFonts w:ascii="Times New Roman" w:hAnsi="Times New Roman" w:eastAsia="仿宋_GB2312" w:cs="仿宋_GB2312"/>
          <w:b w:val="0"/>
          <w:color w:val="000000"/>
          <w:sz w:val="32"/>
        </w:rPr>
        <w:t>以上资格要求为本次供应商应具备的基本条件，参加询价采购的供应商必须满足资格要求中的所有条款，并按照相关规定递交资格证明文件。</w:t>
      </w:r>
    </w:p>
    <w:p>
      <w:pPr>
        <w:spacing w:before="240" w:after="120" w:line="600" w:lineRule="atLeast"/>
        <w:jc w:val="left"/>
      </w:pPr>
      <w:r>
        <w:rPr>
          <w:rFonts w:ascii="黑体" w:hAnsi="黑体" w:eastAsia="黑体" w:cs="黑体"/>
          <w:b/>
          <w:color w:val="000000"/>
          <w:sz w:val="32"/>
        </w:rPr>
        <w:t>五、询价时间、方式及要求</w:t>
      </w:r>
    </w:p>
    <w:p>
      <w:pPr>
        <w:spacing w:before="80" w:after="40" w:line="560" w:lineRule="atLeast"/>
        <w:jc w:val="left"/>
      </w:pPr>
      <w:r>
        <w:rPr>
          <w:rFonts w:ascii="黑体" w:hAnsi="黑体" w:eastAsia="黑体" w:cs="黑体"/>
          <w:b w:val="0"/>
          <w:color w:val="000000"/>
          <w:sz w:val="32"/>
        </w:rPr>
        <w:t>（一）询价时间</w:t>
      </w:r>
    </w:p>
    <w:p>
      <w:pPr>
        <w:spacing w:before="0" w:after="0" w:line="560" w:lineRule="atLeast"/>
        <w:ind w:firstLine="640" w:firstLineChars="200"/>
        <w:jc w:val="both"/>
      </w:pPr>
      <w:r>
        <w:rPr>
          <w:rFonts w:ascii="Times New Roman" w:hAnsi="Times New Roman" w:eastAsia="仿宋_GB2312" w:cs="仿宋_GB2312"/>
          <w:b w:val="0"/>
          <w:color w:val="000000"/>
          <w:sz w:val="32"/>
        </w:rPr>
        <w:t>2026年8月18日—2026年8月23日。</w:t>
      </w:r>
    </w:p>
    <w:p>
      <w:pPr>
        <w:spacing w:before="80" w:after="40" w:line="560" w:lineRule="atLeast"/>
        <w:jc w:val="left"/>
      </w:pPr>
      <w:r>
        <w:rPr>
          <w:rFonts w:ascii="黑体" w:hAnsi="黑体" w:eastAsia="黑体" w:cs="黑体"/>
          <w:b w:val="0"/>
          <w:color w:val="000000"/>
          <w:sz w:val="32"/>
        </w:rPr>
        <w:t>（二）询价方式</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 供应商报名并领取询价文件后，由协会统一组织实地踏勘测量；</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2. 供应商根据现场测量情况编制设计方案（含平面布局、效果图）及分项报价明细表；</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3. 在2026年8月23日17时前，将设计方案、效果图、资质业绩证明、分项报价及工期承诺等文件密封后递交至襄阳市物流协会（湖北省襄阳市钻石大道光彩工业园）。</w:t>
      </w:r>
    </w:p>
    <w:p>
      <w:pPr>
        <w:spacing w:before="80" w:after="40" w:line="560" w:lineRule="atLeast"/>
        <w:jc w:val="left"/>
      </w:pPr>
      <w:r>
        <w:rPr>
          <w:rFonts w:ascii="黑体" w:hAnsi="黑体" w:eastAsia="黑体" w:cs="黑体"/>
          <w:b w:val="0"/>
          <w:color w:val="000000"/>
          <w:sz w:val="32"/>
        </w:rPr>
        <w:t>（三）相关要求</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1. 报价须为总价＋分项明细，包含设计费、各区域文化墙制作安装费、展示柜、多媒体设备、照明、导视牌、税费等全部费用，总价不得超过15万元；</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2. 设计方案须党建廉洁主题鲜明、空间布局合理，满足党群活动与廉洁教育功能需求；</w:t>
      </w:r>
    </w:p>
    <w:p>
      <w:pPr>
        <w:spacing w:before="0" w:after="0" w:line="560" w:lineRule="atLeast"/>
        <w:ind w:left="640" w:hanging="640" w:leftChars="200" w:hangingChars="200"/>
        <w:jc w:val="both"/>
      </w:pPr>
      <w:r>
        <w:rPr>
          <w:rFonts w:ascii="Times New Roman" w:hAnsi="Times New Roman" w:eastAsia="仿宋_GB2312" w:cs="仿宋_GB2312"/>
          <w:b w:val="0"/>
          <w:color w:val="000000"/>
          <w:sz w:val="32"/>
        </w:rPr>
        <w:t>3. 成交供应商须根据审定意见深化设计（施工图）并组织施工，确保安全可靠，于2026年9月25日前完成并通过验收。</w:t>
      </w:r>
    </w:p>
    <w:p>
      <w:pPr>
        <w:spacing w:before="240" w:after="120" w:line="600" w:lineRule="atLeast"/>
        <w:jc w:val="left"/>
      </w:pPr>
      <w:r>
        <w:rPr>
          <w:rFonts w:ascii="黑体" w:hAnsi="黑体" w:eastAsia="黑体" w:cs="黑体"/>
          <w:b/>
          <w:color w:val="000000"/>
          <w:sz w:val="32"/>
        </w:rPr>
        <w:t>六、联系方式</w:t>
      </w:r>
    </w:p>
    <w:p>
      <w:pPr>
        <w:spacing w:before="0" w:after="0" w:line="560" w:lineRule="atLeast"/>
        <w:ind w:firstLine="640" w:firstLineChars="200"/>
        <w:jc w:val="both"/>
      </w:pPr>
      <w:r>
        <w:rPr>
          <w:rFonts w:ascii="Times New Roman" w:hAnsi="Times New Roman" w:eastAsia="仿宋_GB2312" w:cs="仿宋_GB2312"/>
          <w:b w:val="0"/>
          <w:color w:val="000000"/>
          <w:sz w:val="32"/>
        </w:rPr>
        <w:t>询价人：襄阳市物流协会</w:t>
      </w:r>
    </w:p>
    <w:p>
      <w:pPr>
        <w:spacing w:before="0" w:after="0" w:line="560" w:lineRule="atLeast"/>
        <w:ind w:firstLine="640" w:firstLineChars="200"/>
        <w:jc w:val="both"/>
      </w:pPr>
      <w:r>
        <w:rPr>
          <w:rFonts w:ascii="Times New Roman" w:hAnsi="Times New Roman" w:eastAsia="仿宋_GB2312" w:cs="仿宋_GB2312"/>
          <w:b w:val="0"/>
          <w:color w:val="000000"/>
          <w:sz w:val="32"/>
        </w:rPr>
        <w:t>地　址：湖北省襄阳市钻石大道光彩工业园</w:t>
      </w:r>
    </w:p>
    <w:p>
      <w:pPr>
        <w:spacing w:before="0" w:after="0" w:line="560" w:lineRule="atLeast"/>
        <w:ind w:firstLine="640" w:firstLineChars="200"/>
        <w:jc w:val="both"/>
      </w:pPr>
      <w:r>
        <w:rPr>
          <w:rFonts w:ascii="Times New Roman" w:hAnsi="Times New Roman" w:eastAsia="仿宋_GB2312" w:cs="仿宋_GB2312"/>
          <w:b w:val="0"/>
          <w:color w:val="000000"/>
          <w:sz w:val="32"/>
        </w:rPr>
        <w:t>联系人：康迪</w:t>
      </w:r>
    </w:p>
    <w:p>
      <w:pPr>
        <w:spacing w:before="0" w:after="0" w:line="560" w:lineRule="atLeast"/>
        <w:ind w:firstLine="640" w:firstLineChars="200"/>
        <w:jc w:val="both"/>
      </w:pPr>
      <w:r>
        <w:rPr>
          <w:rFonts w:ascii="Times New Roman" w:hAnsi="Times New Roman" w:eastAsia="仿宋_GB2312" w:cs="仿宋_GB2312"/>
          <w:b w:val="0"/>
          <w:color w:val="000000"/>
          <w:sz w:val="32"/>
        </w:rPr>
        <w:t>电　话：18771474777</w:t>
      </w:r>
    </w:p>
    <w:p>
      <w:pPr>
        <w:spacing w:before="240" w:after="120" w:line="600" w:lineRule="atLeast"/>
        <w:jc w:val="left"/>
      </w:pPr>
      <w:r>
        <w:rPr>
          <w:rFonts w:ascii="黑体" w:hAnsi="黑体" w:eastAsia="黑体" w:cs="黑体"/>
          <w:b/>
          <w:color w:val="000000"/>
          <w:sz w:val="32"/>
        </w:rPr>
        <w:t>附件：采购询价单</w:t>
      </w:r>
    </w:p>
    <w:tbl>
      <w:tblPr>
        <w:tblW w:type="dxa" w:w="8406"/>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0" w:type="dxa"/>
          <w:left w:w="80" w:type="dxa"/>
          <w:bottom w:w="50" w:type="dxa"/>
          <w:right w:w="80" w:type="dxa"/>
        </w:tblCellMar>
        <w:tblLook w:firstColumn="1" w:firstRow="1" w:lastColumn="0" w:lastRow="0" w:noHBand="0" w:noVBand="1" w:val="04A0"/>
      </w:tblPr>
      <w:tblGrid>
        <w:gridCol w:w="600"/>
        <w:gridCol w:w="2100"/>
        <w:gridCol w:w="2200"/>
        <w:gridCol w:w="800"/>
        <w:gridCol w:w="800"/>
        <w:gridCol w:w="1100"/>
        <w:gridCol w:w="806"/>
      </w:tblGrid>
      <w:tr>
        <w:trPr>
          <w:tblHeader/>
        </w:trPr>
        <w:tc>
          <w:tcPr>
            <w:tcW w:type="dxa" w:w="600"/>
            <w:vAlign w:val="center"/>
            <w:shd w:val="clear" w:color="auto" w:fill="D9D9D9"/>
          </w:tcPr>
          <w:p>
            <w:pPr>
              <w:spacing w:before="0" w:after="0" w:line="240" w:lineRule="auto"/>
              <w:jc w:val="center"/>
            </w:pPr>
            <w:r>
              <w:rPr>
                <w:rFonts w:ascii="黑体" w:hAnsi="黑体" w:eastAsia="黑体" w:cs="黑体"/>
                <w:b/>
                <w:color w:val="000000"/>
                <w:sz w:val="22"/>
              </w:rPr>
              <w:t>序号</w:t>
            </w:r>
          </w:p>
        </w:tc>
        <w:tc>
          <w:tcPr>
            <w:tcW w:type="dxa" w:w="2100"/>
            <w:vAlign w:val="center"/>
            <w:shd w:val="clear" w:color="auto" w:fill="D9D9D9"/>
          </w:tcPr>
          <w:p>
            <w:pPr>
              <w:spacing w:before="0" w:after="0" w:line="240" w:lineRule="auto"/>
              <w:jc w:val="center"/>
            </w:pPr>
            <w:r>
              <w:rPr>
                <w:rFonts w:ascii="黑体" w:hAnsi="黑体" w:eastAsia="黑体" w:cs="黑体"/>
                <w:b/>
                <w:color w:val="000000"/>
                <w:sz w:val="22"/>
              </w:rPr>
              <w:t>项目内容</w:t>
            </w:r>
          </w:p>
        </w:tc>
        <w:tc>
          <w:tcPr>
            <w:tcW w:type="dxa" w:w="2200"/>
            <w:vAlign w:val="center"/>
            <w:shd w:val="clear" w:color="auto" w:fill="D9D9D9"/>
          </w:tcPr>
          <w:p>
            <w:pPr>
              <w:spacing w:before="0" w:after="0" w:line="240" w:lineRule="auto"/>
              <w:jc w:val="center"/>
            </w:pPr>
            <w:r>
              <w:rPr>
                <w:rFonts w:ascii="黑体" w:hAnsi="黑体" w:eastAsia="黑体" w:cs="黑体"/>
                <w:b/>
                <w:color w:val="000000"/>
                <w:sz w:val="22"/>
              </w:rPr>
              <w:t>规格及说明</w:t>
            </w:r>
          </w:p>
        </w:tc>
        <w:tc>
          <w:tcPr>
            <w:tcW w:type="dxa" w:w="800"/>
            <w:vAlign w:val="center"/>
            <w:shd w:val="clear" w:color="auto" w:fill="D9D9D9"/>
          </w:tcPr>
          <w:p>
            <w:pPr>
              <w:spacing w:before="0" w:after="0" w:line="240" w:lineRule="auto"/>
              <w:jc w:val="center"/>
            </w:pPr>
            <w:r>
              <w:rPr>
                <w:rFonts w:ascii="黑体" w:hAnsi="黑体" w:eastAsia="黑体" w:cs="黑体"/>
                <w:b/>
                <w:color w:val="000000"/>
                <w:sz w:val="22"/>
              </w:rPr>
              <w:t>数量</w:t>
            </w:r>
          </w:p>
        </w:tc>
        <w:tc>
          <w:tcPr>
            <w:tcW w:type="dxa" w:w="800"/>
            <w:vAlign w:val="center"/>
            <w:shd w:val="clear" w:color="auto" w:fill="D9D9D9"/>
          </w:tcPr>
          <w:p>
            <w:pPr>
              <w:spacing w:before="0" w:after="0" w:line="240" w:lineRule="auto"/>
              <w:jc w:val="center"/>
            </w:pPr>
            <w:r>
              <w:rPr>
                <w:rFonts w:ascii="黑体" w:hAnsi="黑体" w:eastAsia="黑体" w:cs="黑体"/>
                <w:b/>
                <w:color w:val="000000"/>
                <w:sz w:val="22"/>
              </w:rPr>
              <w:t>单位</w:t>
            </w:r>
          </w:p>
        </w:tc>
        <w:tc>
          <w:tcPr>
            <w:tcW w:type="dxa" w:w="1100"/>
            <w:vAlign w:val="center"/>
            <w:shd w:val="clear" w:color="auto" w:fill="D9D9D9"/>
          </w:tcPr>
          <w:p>
            <w:pPr>
              <w:spacing w:before="0" w:after="0" w:line="240" w:lineRule="auto"/>
              <w:jc w:val="center"/>
            </w:pPr>
            <w:r>
              <w:rPr>
                <w:rFonts w:ascii="黑体" w:hAnsi="黑体" w:eastAsia="黑体" w:cs="黑体"/>
                <w:b/>
                <w:color w:val="000000"/>
                <w:sz w:val="22"/>
              </w:rPr>
              <w:t>单价（元）</w:t>
            </w:r>
          </w:p>
        </w:tc>
        <w:tc>
          <w:tcPr>
            <w:tcW w:type="dxa" w:w="806"/>
            <w:vAlign w:val="center"/>
            <w:shd w:val="clear" w:color="auto" w:fill="D9D9D9"/>
          </w:tcPr>
          <w:p>
            <w:pPr>
              <w:spacing w:before="0" w:after="0" w:line="240" w:lineRule="auto"/>
              <w:jc w:val="center"/>
            </w:pPr>
            <w:r>
              <w:rPr>
                <w:rFonts w:ascii="黑体" w:hAnsi="黑体" w:eastAsia="黑体" w:cs="黑体"/>
                <w:b/>
                <w:color w:val="000000"/>
                <w:sz w:val="22"/>
              </w:rPr>
              <w:t>金额（元）</w:t>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1</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设计费</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2</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文化墙制作安装费</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3</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展示柜</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4</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多媒体设备</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5</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照明</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6</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导视牌</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7</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家具及基础设施改造</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tcPr>
          <w:p>
            <w:pPr>
              <w:spacing w:before="0" w:after="0" w:line="240" w:lineRule="auto"/>
              <w:jc w:val="center"/>
            </w:pPr>
            <w:r>
              <w:rPr>
                <w:rFonts w:ascii="Times New Roman" w:hAnsi="Times New Roman" w:eastAsia="仿宋_GB2312" w:cs="仿宋_GB2312"/>
                <w:b w:val="0"/>
                <w:color w:val="000000"/>
                <w:sz w:val="22"/>
              </w:rPr>
              <w:t>8</w:t>
            </w:r>
          </w:p>
        </w:tc>
        <w:tc>
          <w:tcPr>
            <w:tcW w:type="dxa" w:w="2100"/>
            <w:vAlign w:val="center"/>
          </w:tcPr>
          <w:p>
            <w:pPr>
              <w:spacing w:before="0" w:after="0" w:line="240" w:lineRule="auto"/>
              <w:jc w:val="left"/>
            </w:pPr>
            <w:r>
              <w:rPr>
                <w:rFonts w:ascii="Times New Roman" w:hAnsi="Times New Roman" w:eastAsia="仿宋_GB2312" w:cs="仿宋_GB2312"/>
                <w:b w:val="0"/>
                <w:color w:val="000000"/>
                <w:sz w:val="22"/>
              </w:rPr>
              <w:t>税费及其他</w:t>
            </w:r>
          </w:p>
        </w:tc>
        <w:tc>
          <w:tcPr>
            <w:tcW w:type="dxa" w:w="2200"/>
            <w:vAlign w:val="center"/>
          </w:tcPr>
          <w:p>
            <w:pPr>
              <w:spacing w:before="0" w:after="0" w:line="240" w:lineRule="auto"/>
              <w:jc w:val="left"/>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1100"/>
            <w:vAlign w:val="center"/>
          </w:tcPr>
          <w:p>
            <w:pPr>
              <w:spacing w:before="0" w:after="0" w:line="240" w:lineRule="auto"/>
              <w:jc w:val="center"/>
            </w:pPr>
            <w:r>
              <w:rPr>
                <w:rFonts w:ascii="Times New Roman" w:hAnsi="Times New Roman" w:eastAsia="仿宋_GB2312" w:cs="仿宋_GB2312"/>
                <w:b w:val="0"/>
                <w:color w:val="000000"/>
                <w:sz w:val="22"/>
              </w:rPr>
            </w:r>
          </w:p>
        </w:tc>
        <w:tc>
          <w:tcPr>
            <w:tcW w:type="dxa" w:w="806"/>
            <w:vAlign w:val="center"/>
          </w:tcPr>
          <w:p>
            <w:pPr>
              <w:spacing w:before="0" w:after="0" w:line="240" w:lineRule="auto"/>
              <w:jc w:val="center"/>
            </w:pPr>
            <w:r>
              <w:rPr>
                <w:rFonts w:ascii="Times New Roman" w:hAnsi="Times New Roman" w:eastAsia="仿宋_GB2312" w:cs="仿宋_GB2312"/>
                <w:b w:val="0"/>
                <w:color w:val="000000"/>
                <w:sz w:val="22"/>
              </w:rPr>
            </w:r>
          </w:p>
        </w:tc>
      </w:tr>
      <w:tr>
        <w:tc>
          <w:tcPr>
            <w:tcW w:type="dxa" w:w="600"/>
            <w:vAlign w:val="center"/>
            <w:shd w:val="clear" w:color="auto" w:fill="F2F2F2"/>
          </w:tcPr>
          <w:p>
            <w:pPr>
              <w:spacing w:before="0" w:after="0" w:line="240" w:lineRule="auto"/>
              <w:jc w:val="center"/>
            </w:pPr>
            <w:r>
              <w:rPr>
                <w:rFonts w:ascii="Times New Roman" w:hAnsi="Times New Roman" w:eastAsia="仿宋_GB2312" w:cs="仿宋_GB2312"/>
                <w:b/>
                <w:color w:val="000000"/>
                <w:sz w:val="22"/>
              </w:rPr>
              <w:t>合计</w:t>
            </w:r>
          </w:p>
        </w:tc>
        <w:tc>
          <w:tcPr>
            <w:tcW w:type="dxa" w:w="2100"/>
            <w:vAlign w:val="center"/>
            <w:shd w:val="clear" w:color="auto" w:fill="F2F2F2"/>
          </w:tcPr>
          <w:p>
            <w:pPr>
              <w:spacing w:before="0" w:after="0" w:line="240" w:lineRule="auto"/>
              <w:jc w:val="left"/>
            </w:pPr>
            <w:r>
              <w:rPr>
                <w:rFonts w:ascii="Times New Roman" w:hAnsi="Times New Roman" w:eastAsia="仿宋_GB2312" w:cs="仿宋_GB2312"/>
                <w:b/>
                <w:color w:val="000000"/>
                <w:sz w:val="22"/>
              </w:rPr>
            </w:r>
          </w:p>
        </w:tc>
        <w:tc>
          <w:tcPr>
            <w:tcW w:type="dxa" w:w="2200"/>
            <w:vAlign w:val="center"/>
            <w:shd w:val="clear" w:color="auto" w:fill="F2F2F2"/>
          </w:tcPr>
          <w:p>
            <w:pPr>
              <w:spacing w:before="0" w:after="0" w:line="240" w:lineRule="auto"/>
              <w:jc w:val="left"/>
            </w:pPr>
            <w:r>
              <w:rPr>
                <w:rFonts w:ascii="Times New Roman" w:hAnsi="Times New Roman" w:eastAsia="仿宋_GB2312" w:cs="仿宋_GB2312"/>
                <w:b/>
                <w:color w:val="000000"/>
                <w:sz w:val="22"/>
              </w:rPr>
            </w:r>
          </w:p>
        </w:tc>
        <w:tc>
          <w:tcPr>
            <w:tcW w:type="dxa" w:w="800"/>
            <w:vAlign w:val="center"/>
            <w:shd w:val="clear" w:color="auto" w:fill="F2F2F2"/>
          </w:tcPr>
          <w:p>
            <w:pPr>
              <w:spacing w:before="0" w:after="0" w:line="240" w:lineRule="auto"/>
              <w:jc w:val="center"/>
            </w:pPr>
            <w:r>
              <w:rPr>
                <w:rFonts w:ascii="Times New Roman" w:hAnsi="Times New Roman" w:eastAsia="仿宋_GB2312" w:cs="仿宋_GB2312"/>
                <w:b/>
                <w:color w:val="000000"/>
                <w:sz w:val="22"/>
              </w:rPr>
            </w:r>
          </w:p>
        </w:tc>
        <w:tc>
          <w:tcPr>
            <w:tcW w:type="dxa" w:w="800"/>
            <w:vAlign w:val="center"/>
            <w:shd w:val="clear" w:color="auto" w:fill="F2F2F2"/>
          </w:tcPr>
          <w:p>
            <w:pPr>
              <w:spacing w:before="0" w:after="0" w:line="240" w:lineRule="auto"/>
              <w:jc w:val="center"/>
            </w:pPr>
            <w:r>
              <w:rPr>
                <w:rFonts w:ascii="Times New Roman" w:hAnsi="Times New Roman" w:eastAsia="仿宋_GB2312" w:cs="仿宋_GB2312"/>
                <w:b/>
                <w:color w:val="000000"/>
                <w:sz w:val="22"/>
              </w:rPr>
            </w:r>
          </w:p>
        </w:tc>
        <w:tc>
          <w:tcPr>
            <w:tcW w:type="dxa" w:w="1100"/>
            <w:vAlign w:val="center"/>
            <w:shd w:val="clear" w:color="auto" w:fill="F2F2F2"/>
          </w:tcPr>
          <w:p>
            <w:pPr>
              <w:spacing w:before="0" w:after="0" w:line="240" w:lineRule="auto"/>
              <w:jc w:val="center"/>
            </w:pPr>
            <w:r>
              <w:rPr>
                <w:rFonts w:ascii="Times New Roman" w:hAnsi="Times New Roman" w:eastAsia="仿宋_GB2312" w:cs="仿宋_GB2312"/>
                <w:b/>
                <w:color w:val="000000"/>
                <w:sz w:val="22"/>
              </w:rPr>
            </w:r>
          </w:p>
        </w:tc>
        <w:tc>
          <w:tcPr>
            <w:tcW w:type="dxa" w:w="806"/>
            <w:vAlign w:val="center"/>
            <w:shd w:val="clear" w:color="auto" w:fill="F2F2F2"/>
          </w:tcPr>
          <w:p>
            <w:pPr>
              <w:spacing w:before="0" w:after="0" w:line="240" w:lineRule="auto"/>
              <w:jc w:val="center"/>
            </w:pPr>
            <w:r>
              <w:rPr>
                <w:rFonts w:ascii="Times New Roman" w:hAnsi="Times New Roman" w:eastAsia="仿宋_GB2312" w:cs="仿宋_GB2312"/>
                <w:b/>
                <w:color w:val="000000"/>
                <w:sz w:val="22"/>
              </w:rPr>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襄阳市物流协会廉洁文化阵地建设项目询价公告</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