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D9403">
      <w:pPr>
        <w:spacing w:before="0" w:after="200" w:line="300" w:lineRule="auto"/>
        <w:jc w:val="center"/>
        <w:rPr>
          <w:color w:val="auto"/>
        </w:rPr>
      </w:pPr>
      <w:r>
        <w:rPr>
          <w:rFonts w:ascii="微软雅黑" w:hAnsi="微软雅黑" w:eastAsia="微软雅黑"/>
          <w:b/>
          <w:color w:val="auto"/>
          <w:spacing w:val="80"/>
          <w:sz w:val="36"/>
        </w:rPr>
        <w:t>襄阳市物流协会廉洁文化阵地建设项目</w:t>
      </w:r>
      <w:r>
        <w:rPr>
          <w:rFonts w:ascii="微软雅黑" w:hAnsi="微软雅黑" w:eastAsia="微软雅黑"/>
          <w:b/>
          <w:color w:val="auto"/>
          <w:spacing w:val="80"/>
          <w:sz w:val="36"/>
        </w:rPr>
        <w:br w:type="textWrapping"/>
      </w:r>
      <w:r>
        <w:rPr>
          <w:rFonts w:ascii="微软雅黑" w:hAnsi="微软雅黑" w:eastAsia="微软雅黑"/>
          <w:b/>
          <w:color w:val="auto"/>
          <w:spacing w:val="80"/>
          <w:sz w:val="36"/>
        </w:rPr>
        <w:t>竞争性磋商评分表</w:t>
      </w:r>
    </w:p>
    <w:p w14:paraId="2646DD58">
      <w:pPr>
        <w:pBdr>
          <w:bottom w:val="single" w:color="2E5395" w:sz="14" w:space="4"/>
        </w:pBdr>
        <w:spacing w:before="260" w:after="120" w:line="300" w:lineRule="auto"/>
      </w:pPr>
      <w:r>
        <w:rPr>
          <w:rFonts w:ascii="微软雅黑" w:hAnsi="微软雅黑" w:eastAsia="微软雅黑"/>
          <w:b/>
          <w:color w:val="1F3864"/>
          <w:sz w:val="28"/>
        </w:rPr>
        <w:t>一、商务资信部分（</w:t>
      </w:r>
      <w:r>
        <w:rPr>
          <w:rFonts w:hint="eastAsia" w:ascii="微软雅黑" w:hAnsi="微软雅黑" w:eastAsia="微软雅黑"/>
          <w:b/>
          <w:color w:val="1F3864"/>
          <w:sz w:val="28"/>
          <w:lang w:val="en-US" w:eastAsia="zh-CN"/>
        </w:rPr>
        <w:t>2</w:t>
      </w:r>
      <w:r>
        <w:rPr>
          <w:rFonts w:ascii="微软雅黑" w:hAnsi="微软雅黑" w:eastAsia="微软雅黑"/>
          <w:b/>
          <w:color w:val="1F3864"/>
          <w:sz w:val="28"/>
        </w:rPr>
        <w:t>5分）</w:t>
      </w:r>
    </w:p>
    <w:tbl>
      <w:tblPr>
        <w:tblStyle w:val="33"/>
        <w:tblW w:w="0" w:type="auto"/>
        <w:jc w:val="center"/>
        <w:tbl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single" w:color="BFBFBF" w:sz="4" w:space="0"/>
          <w:insideV w:val="single" w:color="BFBFBF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3135"/>
        <w:gridCol w:w="3135"/>
        <w:gridCol w:w="3135"/>
      </w:tblGrid>
      <w:tr w14:paraId="7EBCFF5C">
        <w:trPr>
          <w:jc w:val="center"/>
        </w:trPr>
        <w:tc>
          <w:tcPr>
            <w:tcW w:w="3135" w:type="dxa"/>
            <w:shd w:val="clear" w:color="auto" w:fill="2E5395"/>
            <w:vAlign w:val="center"/>
          </w:tcPr>
          <w:p w14:paraId="47FAB42A">
            <w:pPr>
              <w:spacing w:before="0"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评分因素</w:t>
            </w:r>
          </w:p>
        </w:tc>
        <w:tc>
          <w:tcPr>
            <w:tcW w:w="3135" w:type="dxa"/>
            <w:shd w:val="clear" w:color="auto" w:fill="2E5395"/>
            <w:vAlign w:val="center"/>
          </w:tcPr>
          <w:p w14:paraId="23FE2BD4">
            <w:pPr>
              <w:spacing w:before="0"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分值</w:t>
            </w:r>
          </w:p>
        </w:tc>
        <w:tc>
          <w:tcPr>
            <w:tcW w:w="3135" w:type="dxa"/>
            <w:shd w:val="clear" w:color="auto" w:fill="2E5395"/>
            <w:vAlign w:val="center"/>
          </w:tcPr>
          <w:p w14:paraId="143DAEA9">
            <w:pPr>
              <w:spacing w:before="0"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评分标准</w:t>
            </w:r>
          </w:p>
        </w:tc>
      </w:tr>
      <w:tr w14:paraId="18739573">
        <w:trPr>
          <w:jc w:val="center"/>
        </w:trPr>
        <w:tc>
          <w:tcPr>
            <w:tcW w:w="3135" w:type="dxa"/>
            <w:vAlign w:val="center"/>
          </w:tcPr>
          <w:p w14:paraId="3A23EF28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企业资质</w:t>
            </w:r>
          </w:p>
        </w:tc>
        <w:tc>
          <w:tcPr>
            <w:tcW w:w="3135" w:type="dxa"/>
            <w:vAlign w:val="center"/>
          </w:tcPr>
          <w:p w14:paraId="6CD8B9D6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5分</w:t>
            </w:r>
          </w:p>
        </w:tc>
        <w:tc>
          <w:tcPr>
            <w:tcW w:w="3135" w:type="dxa"/>
            <w:vAlign w:val="center"/>
          </w:tcPr>
          <w:p w14:paraId="1B4F8A4B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营业执照有效，具有相关经营范围或装修装饰资质，资料齐全合规，得5分；资料不全或不合规，得0—2分。</w:t>
            </w:r>
          </w:p>
        </w:tc>
      </w:tr>
      <w:tr w14:paraId="7AA530E2">
        <w:trPr>
          <w:jc w:val="center"/>
        </w:trPr>
        <w:tc>
          <w:tcPr>
            <w:tcW w:w="3135" w:type="dxa"/>
            <w:vAlign w:val="center"/>
          </w:tcPr>
          <w:p w14:paraId="41C7B990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经营稳定性</w:t>
            </w:r>
          </w:p>
        </w:tc>
        <w:tc>
          <w:tcPr>
            <w:tcW w:w="3135" w:type="dxa"/>
            <w:vAlign w:val="center"/>
          </w:tcPr>
          <w:p w14:paraId="7F27705F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5分</w:t>
            </w:r>
          </w:p>
        </w:tc>
        <w:tc>
          <w:tcPr>
            <w:tcW w:w="3135" w:type="dxa"/>
            <w:vAlign w:val="center"/>
          </w:tcPr>
          <w:p w14:paraId="2E3FE1B2">
            <w:pPr>
              <w:spacing w:before="0" w:after="0" w:line="264" w:lineRule="auto"/>
              <w:jc w:val="left"/>
              <w:rPr>
                <w:rFonts w:ascii="宋体" w:hAnsi="宋体" w:eastAsia="宋体"/>
                <w:color w:val="404040"/>
                <w:sz w:val="21"/>
              </w:rPr>
            </w:pPr>
            <w:r>
              <w:rPr>
                <w:rFonts w:ascii="宋体" w:hAnsi="宋体" w:eastAsia="宋体"/>
                <w:color w:val="404040"/>
                <w:sz w:val="21"/>
              </w:rPr>
              <w:t>从成立年限、纳税信用等级、信用记录三方面评分，详见下表。</w:t>
            </w:r>
          </w:p>
        </w:tc>
      </w:tr>
      <w:tr w14:paraId="01DC878D">
        <w:trPr>
          <w:jc w:val="center"/>
        </w:trPr>
        <w:tc>
          <w:tcPr>
            <w:tcW w:w="3135" w:type="dxa"/>
            <w:vAlign w:val="center"/>
          </w:tcPr>
          <w:p w14:paraId="6A9911F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Helvetica Neue" w:hAnsi="Helvetica Neue" w:eastAsia="Helvetica Neue" w:cs="Helvetica Neue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项目团队配置</w:t>
            </w:r>
          </w:p>
        </w:tc>
        <w:tc>
          <w:tcPr>
            <w:tcW w:w="3135" w:type="dxa"/>
            <w:vAlign w:val="center"/>
          </w:tcPr>
          <w:p w14:paraId="4640B524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5分</w:t>
            </w:r>
          </w:p>
        </w:tc>
        <w:tc>
          <w:tcPr>
            <w:tcW w:w="3135" w:type="dxa"/>
            <w:vAlign w:val="center"/>
          </w:tcPr>
          <w:p w14:paraId="731EF524">
            <w:pPr>
              <w:spacing w:before="0" w:after="0" w:line="264" w:lineRule="auto"/>
              <w:jc w:val="left"/>
              <w:rPr>
                <w:rFonts w:ascii="宋体" w:hAnsi="宋体" w:eastAsia="宋体"/>
                <w:color w:val="404040"/>
                <w:sz w:val="21"/>
              </w:rPr>
            </w:pPr>
            <w:r>
              <w:rPr>
                <w:rFonts w:ascii="宋体" w:hAnsi="宋体" w:eastAsia="宋体"/>
                <w:color w:val="404040"/>
                <w:sz w:val="21"/>
                <w:lang w:val="en-US" w:eastAsia="zh-CN"/>
              </w:rPr>
              <w:t>项目负责人具有装修设计或施工管理相关经验或职称，得2分；配备设计、施工、安全等关键岗位人员且分工明确，得3分。须提供人员名单及简要资历说明。</w:t>
            </w:r>
          </w:p>
        </w:tc>
      </w:tr>
      <w:tr w14:paraId="057255BF">
        <w:trPr>
          <w:jc w:val="center"/>
        </w:trPr>
        <w:tc>
          <w:tcPr>
            <w:tcW w:w="3135" w:type="dxa"/>
            <w:vAlign w:val="center"/>
          </w:tcPr>
          <w:p w14:paraId="04FD3B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color w:val="404040"/>
                <w:sz w:val="21"/>
                <w:lang w:eastAsia="zh-CN"/>
              </w:rPr>
            </w:pPr>
            <w:r>
              <w:rPr>
                <w:rFonts w:ascii="Helvetica Neue" w:hAnsi="Helvetica Neue" w:eastAsia="Helvetica Neue" w:cs="Helvetica Neue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施工组织与进度保障</w:t>
            </w:r>
          </w:p>
        </w:tc>
        <w:tc>
          <w:tcPr>
            <w:tcW w:w="3135" w:type="dxa"/>
            <w:vAlign w:val="center"/>
          </w:tcPr>
          <w:p w14:paraId="1CFF9CC4">
            <w:pPr>
              <w:spacing w:before="0" w:after="0" w:line="264" w:lineRule="auto"/>
              <w:jc w:val="center"/>
              <w:rPr>
                <w:rFonts w:hint="default" w:ascii="宋体" w:hAnsi="宋体" w:eastAsia="宋体"/>
                <w:b/>
                <w:color w:val="2E5395"/>
                <w:sz w:val="21"/>
                <w:lang w:val="en-US" w:eastAsia="zh-CN"/>
              </w:rPr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5分</w:t>
            </w:r>
          </w:p>
        </w:tc>
        <w:tc>
          <w:tcPr>
            <w:tcW w:w="3135" w:type="dxa"/>
            <w:vAlign w:val="center"/>
          </w:tcPr>
          <w:p w14:paraId="13906FAD">
            <w:pPr>
              <w:spacing w:before="0" w:after="0" w:line="264" w:lineRule="auto"/>
              <w:jc w:val="left"/>
              <w:rPr>
                <w:rFonts w:hint="eastAsia" w:ascii="宋体" w:hAnsi="宋体" w:eastAsia="宋体"/>
                <w:color w:val="404040"/>
                <w:sz w:val="21"/>
                <w:lang w:eastAsia="zh-CN"/>
              </w:rPr>
            </w:pPr>
            <w:r>
              <w:rPr>
                <w:rFonts w:ascii="宋体" w:hAnsi="宋体" w:eastAsia="宋体"/>
                <w:color w:val="404040"/>
                <w:sz w:val="21"/>
                <w:lang w:val="en-US" w:eastAsia="zh-CN"/>
              </w:rPr>
              <w:t>提供合理可行的施工进度计划，明确2026年9月25日前完工，并有保障措施，得3分；有安全文明施工措施和应急预案，得2分。</w:t>
            </w:r>
          </w:p>
        </w:tc>
      </w:tr>
      <w:tr w14:paraId="40F407A1">
        <w:trPr>
          <w:jc w:val="center"/>
        </w:trPr>
        <w:tc>
          <w:tcPr>
            <w:tcW w:w="3135" w:type="dxa"/>
            <w:tcBorders>
              <w:bottom w:val="nil"/>
            </w:tcBorders>
            <w:vAlign w:val="center"/>
          </w:tcPr>
          <w:p w14:paraId="7BFC7D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color w:val="404040"/>
                <w:sz w:val="21"/>
                <w:lang w:eastAsia="zh-CN"/>
              </w:rPr>
            </w:pPr>
            <w:r>
              <w:rPr>
                <w:rFonts w:ascii="Helvetica Neue" w:hAnsi="Helvetica Neue" w:eastAsia="Helvetica Neue" w:cs="Helvetica Neue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售后服务与质保承诺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14:paraId="7CDF7C3E">
            <w:pPr>
              <w:spacing w:before="0" w:after="0" w:line="264" w:lineRule="auto"/>
              <w:jc w:val="center"/>
              <w:rPr>
                <w:rFonts w:hint="default" w:ascii="宋体" w:hAnsi="宋体" w:eastAsia="宋体"/>
                <w:b/>
                <w:color w:val="2E5395"/>
                <w:sz w:val="21"/>
                <w:lang w:val="en-US" w:eastAsia="zh-CN"/>
              </w:rPr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5分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14:paraId="73490C1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b/>
                <w:color w:val="404040"/>
                <w:sz w:val="21"/>
              </w:rPr>
            </w:pPr>
            <w:r>
              <w:rPr>
                <w:rFonts w:ascii="宋体" w:hAnsi="宋体" w:eastAsia="宋体"/>
                <w:color w:val="404040"/>
                <w:sz w:val="21"/>
                <w:lang w:val="en-US" w:eastAsia="zh-CN"/>
              </w:rPr>
              <w:t>承诺质保期不少于1年，得2分；提供明确的售后响应时间、维修服务内容和联系方式，得3分。</w:t>
            </w:r>
          </w:p>
        </w:tc>
      </w:tr>
      <w:tr w14:paraId="4AE1546B">
        <w:trPr>
          <w:trHeight w:val="623" w:hRule="atLeast"/>
          <w:jc w:val="center"/>
        </w:trPr>
        <w:tc>
          <w:tcPr>
            <w:tcW w:w="940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8B8EE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color w:val="404040"/>
                <w:sz w:val="21"/>
                <w:lang w:val="en-US" w:eastAsia="zh-CN"/>
              </w:rPr>
            </w:pPr>
            <w:r>
              <w:rPr>
                <w:rFonts w:ascii="微软雅黑" w:hAnsi="微软雅黑" w:eastAsia="微软雅黑"/>
                <w:b/>
                <w:color w:val="2E5395"/>
                <w:sz w:val="24"/>
              </w:rPr>
              <w:t>经营稳定性评分细项（5分）</w:t>
            </w:r>
          </w:p>
        </w:tc>
      </w:tr>
      <w:tr w14:paraId="05D9D9C6">
        <w:trPr>
          <w:jc w:val="center"/>
        </w:trPr>
        <w:tc>
          <w:tcPr>
            <w:tcW w:w="3135" w:type="dxa"/>
            <w:tcBorders>
              <w:top w:val="single" w:color="auto" w:sz="4" w:space="0"/>
            </w:tcBorders>
            <w:shd w:val="clear" w:color="auto" w:fill="2E5395"/>
            <w:vAlign w:val="center"/>
          </w:tcPr>
          <w:p w14:paraId="4705BD21">
            <w:pPr>
              <w:spacing w:before="0" w:after="0"/>
              <w:jc w:val="center"/>
              <w:rPr>
                <w:rFonts w:ascii="宋体" w:hAnsi="宋体" w:eastAsia="宋体"/>
                <w:b/>
                <w:color w:val="404040"/>
                <w:sz w:val="21"/>
              </w:rPr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评分因素</w:t>
            </w:r>
          </w:p>
        </w:tc>
        <w:tc>
          <w:tcPr>
            <w:tcW w:w="3135" w:type="dxa"/>
            <w:tcBorders>
              <w:top w:val="single" w:color="auto" w:sz="4" w:space="0"/>
            </w:tcBorders>
            <w:shd w:val="clear" w:color="auto" w:fill="2E5395"/>
            <w:vAlign w:val="center"/>
          </w:tcPr>
          <w:p w14:paraId="5870CC92">
            <w:pPr>
              <w:spacing w:before="0" w:after="0"/>
              <w:jc w:val="center"/>
              <w:rPr>
                <w:rFonts w:ascii="宋体" w:hAnsi="宋体" w:eastAsia="宋体"/>
                <w:b/>
                <w:color w:val="2E5395"/>
                <w:sz w:val="21"/>
              </w:rPr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分值</w:t>
            </w:r>
          </w:p>
        </w:tc>
        <w:tc>
          <w:tcPr>
            <w:tcW w:w="3135" w:type="dxa"/>
            <w:tcBorders>
              <w:top w:val="single" w:color="auto" w:sz="4" w:space="0"/>
            </w:tcBorders>
            <w:shd w:val="clear" w:color="auto" w:fill="2E5395"/>
            <w:vAlign w:val="center"/>
          </w:tcPr>
          <w:p w14:paraId="3A7FDC6C">
            <w:pPr>
              <w:spacing w:before="0" w:after="0"/>
              <w:jc w:val="center"/>
              <w:rPr>
                <w:rFonts w:ascii="宋体" w:hAnsi="宋体" w:eastAsia="宋体"/>
                <w:color w:val="404040"/>
                <w:sz w:val="21"/>
              </w:rPr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评分标准</w:t>
            </w:r>
          </w:p>
        </w:tc>
      </w:tr>
      <w:tr w14:paraId="1400C133">
        <w:trPr>
          <w:jc w:val="center"/>
        </w:trPr>
        <w:tc>
          <w:tcPr>
            <w:tcW w:w="3135" w:type="dxa"/>
            <w:vAlign w:val="center"/>
          </w:tcPr>
          <w:p w14:paraId="76096BC0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成立年限</w:t>
            </w:r>
          </w:p>
        </w:tc>
        <w:tc>
          <w:tcPr>
            <w:tcW w:w="3135" w:type="dxa"/>
            <w:vAlign w:val="center"/>
          </w:tcPr>
          <w:p w14:paraId="0B3214AD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2分</w:t>
            </w:r>
          </w:p>
        </w:tc>
        <w:tc>
          <w:tcPr>
            <w:tcW w:w="3135" w:type="dxa"/>
            <w:vAlign w:val="center"/>
          </w:tcPr>
          <w:p w14:paraId="2D85EA32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注册满3年及以上得2分；满1年不足3年得1分；不足1年得0分。以营业执照注册日期为准。</w:t>
            </w:r>
          </w:p>
        </w:tc>
      </w:tr>
      <w:tr w14:paraId="3F4E6B12">
        <w:trPr>
          <w:jc w:val="center"/>
        </w:trPr>
        <w:tc>
          <w:tcPr>
            <w:tcW w:w="3135" w:type="dxa"/>
            <w:shd w:val="clear" w:color="auto" w:fill="F2F5FB"/>
            <w:vAlign w:val="center"/>
          </w:tcPr>
          <w:p w14:paraId="7AC13FF2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纳税信用等级</w:t>
            </w:r>
          </w:p>
        </w:tc>
        <w:tc>
          <w:tcPr>
            <w:tcW w:w="3135" w:type="dxa"/>
            <w:shd w:val="clear" w:color="auto" w:fill="F2F5FB"/>
            <w:vAlign w:val="center"/>
          </w:tcPr>
          <w:p w14:paraId="0B149A27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2分</w:t>
            </w:r>
          </w:p>
        </w:tc>
        <w:tc>
          <w:tcPr>
            <w:tcW w:w="3135" w:type="dxa"/>
            <w:shd w:val="clear" w:color="auto" w:fill="F2F5FB"/>
            <w:vAlign w:val="center"/>
          </w:tcPr>
          <w:p w14:paraId="19765D63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A级得2分；B级得1.5分；M级得1分；未提供或无法核实的得0分；C级或D级得0分。须提供税务部门出具的纳税信用等级证明或电子税务局截图。</w:t>
            </w:r>
          </w:p>
        </w:tc>
      </w:tr>
      <w:tr w14:paraId="0F93C3EF">
        <w:trPr>
          <w:jc w:val="center"/>
        </w:trPr>
        <w:tc>
          <w:tcPr>
            <w:tcW w:w="3135" w:type="dxa"/>
            <w:vAlign w:val="center"/>
          </w:tcPr>
          <w:p w14:paraId="5550FF47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信用记录</w:t>
            </w:r>
          </w:p>
        </w:tc>
        <w:tc>
          <w:tcPr>
            <w:tcW w:w="3135" w:type="dxa"/>
            <w:vAlign w:val="center"/>
          </w:tcPr>
          <w:p w14:paraId="6DD52F18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1分</w:t>
            </w:r>
          </w:p>
        </w:tc>
        <w:tc>
          <w:tcPr>
            <w:tcW w:w="3135" w:type="dxa"/>
            <w:vAlign w:val="center"/>
          </w:tcPr>
          <w:p w14:paraId="064C066A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近三年无行政处罚、未被列入经营异常名录、未被列入失信被执行人名单得1分；有上述情形之一的得0分。须提供“信用中国”网站及国家企业信用信息公示系统查询截图。</w:t>
            </w:r>
          </w:p>
        </w:tc>
      </w:tr>
    </w:tbl>
    <w:p w14:paraId="74BF05F6">
      <w:pPr>
        <w:pBdr>
          <w:bottom w:val="single" w:color="2E5395" w:sz="14" w:space="4"/>
        </w:pBdr>
        <w:spacing w:before="260" w:after="120" w:line="300" w:lineRule="auto"/>
      </w:pPr>
      <w:bookmarkStart w:id="0" w:name="_GoBack"/>
      <w:bookmarkEnd w:id="0"/>
      <w:r>
        <w:rPr>
          <w:rFonts w:ascii="微软雅黑" w:hAnsi="微软雅黑" w:eastAsia="微软雅黑"/>
          <w:b/>
          <w:color w:val="1F3864"/>
          <w:sz w:val="28"/>
        </w:rPr>
        <w:t>二、技术设计部分（</w:t>
      </w:r>
      <w:r>
        <w:rPr>
          <w:rFonts w:hint="eastAsia" w:ascii="微软雅黑" w:hAnsi="微软雅黑" w:eastAsia="微软雅黑"/>
          <w:b/>
          <w:color w:val="1F3864"/>
          <w:sz w:val="28"/>
          <w:lang w:val="en-US" w:eastAsia="zh-CN"/>
        </w:rPr>
        <w:t>7</w:t>
      </w:r>
      <w:r>
        <w:rPr>
          <w:rFonts w:ascii="微软雅黑" w:hAnsi="微软雅黑" w:eastAsia="微软雅黑"/>
          <w:b/>
          <w:color w:val="1F3864"/>
          <w:sz w:val="28"/>
        </w:rPr>
        <w:t>5分）</w:t>
      </w:r>
    </w:p>
    <w:tbl>
      <w:tblPr>
        <w:tblStyle w:val="33"/>
        <w:tblW w:w="0" w:type="auto"/>
        <w:jc w:val="center"/>
        <w:tbl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single" w:color="BFBFBF" w:sz="4" w:space="0"/>
          <w:insideV w:val="single" w:color="BFBFBF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3135"/>
        <w:gridCol w:w="3135"/>
        <w:gridCol w:w="3135"/>
      </w:tblGrid>
      <w:tr w14:paraId="0FC92286">
        <w:trPr>
          <w:jc w:val="center"/>
        </w:trPr>
        <w:tc>
          <w:tcPr>
            <w:tcW w:w="1814" w:type="dxa"/>
            <w:shd w:val="clear" w:color="auto" w:fill="2E5395"/>
            <w:vAlign w:val="center"/>
          </w:tcPr>
          <w:p w14:paraId="117B085E">
            <w:pPr>
              <w:spacing w:before="0"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评分因素</w:t>
            </w:r>
          </w:p>
        </w:tc>
        <w:tc>
          <w:tcPr>
            <w:tcW w:w="1020" w:type="dxa"/>
            <w:shd w:val="clear" w:color="auto" w:fill="2E5395"/>
            <w:vAlign w:val="center"/>
          </w:tcPr>
          <w:p w14:paraId="6D98B669">
            <w:pPr>
              <w:spacing w:before="0"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分值</w:t>
            </w:r>
          </w:p>
        </w:tc>
        <w:tc>
          <w:tcPr>
            <w:tcW w:w="6236" w:type="dxa"/>
            <w:shd w:val="clear" w:color="auto" w:fill="2E5395"/>
            <w:vAlign w:val="center"/>
          </w:tcPr>
          <w:p w14:paraId="6BD7C79D">
            <w:pPr>
              <w:spacing w:before="0"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评分标准</w:t>
            </w:r>
          </w:p>
        </w:tc>
      </w:tr>
      <w:tr w14:paraId="16AB0DF7">
        <w:trPr>
          <w:jc w:val="center"/>
        </w:trPr>
        <w:tc>
          <w:tcPr>
            <w:tcW w:w="1814" w:type="dxa"/>
            <w:vAlign w:val="center"/>
          </w:tcPr>
          <w:p w14:paraId="633D87B0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效果图质量</w:t>
            </w:r>
          </w:p>
        </w:tc>
        <w:tc>
          <w:tcPr>
            <w:tcW w:w="1020" w:type="dxa"/>
            <w:vAlign w:val="center"/>
          </w:tcPr>
          <w:p w14:paraId="0483AB02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40分</w:t>
            </w:r>
          </w:p>
        </w:tc>
        <w:tc>
          <w:tcPr>
            <w:tcW w:w="6236" w:type="dxa"/>
            <w:vAlign w:val="center"/>
          </w:tcPr>
          <w:p w14:paraId="05FF7A1C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整体布局合理、灯光渲染自然、细节处理到位，视觉舒适得体，得35—40分；布局较合理、细节较好，得25—34分；一般，得15—24分；粗糙或明显不协调，得0—14分。</w:t>
            </w:r>
          </w:p>
        </w:tc>
      </w:tr>
      <w:tr w14:paraId="5A2112FE">
        <w:trPr>
          <w:jc w:val="center"/>
        </w:trPr>
        <w:tc>
          <w:tcPr>
            <w:tcW w:w="1814" w:type="dxa"/>
            <w:shd w:val="clear" w:color="auto" w:fill="F2F5FB"/>
            <w:vAlign w:val="center"/>
          </w:tcPr>
          <w:p w14:paraId="7ACA4F1F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风格统一与整体感</w:t>
            </w:r>
          </w:p>
        </w:tc>
        <w:tc>
          <w:tcPr>
            <w:tcW w:w="1020" w:type="dxa"/>
            <w:shd w:val="clear" w:color="auto" w:fill="F2F5FB"/>
            <w:vAlign w:val="center"/>
          </w:tcPr>
          <w:p w14:paraId="2F2AC586">
            <w:pPr>
              <w:spacing w:before="0" w:after="0" w:line="264" w:lineRule="auto"/>
              <w:jc w:val="center"/>
            </w:pPr>
            <w:r>
              <w:rPr>
                <w:rFonts w:hint="eastAsia" w:ascii="宋体" w:hAnsi="宋体" w:eastAsia="宋体"/>
                <w:b/>
                <w:color w:val="2E5395"/>
                <w:sz w:val="21"/>
                <w:lang w:val="en-US" w:eastAsia="zh-CN"/>
              </w:rPr>
              <w:t>15</w:t>
            </w:r>
            <w:r>
              <w:rPr>
                <w:rFonts w:ascii="宋体" w:hAnsi="宋体" w:eastAsia="宋体"/>
                <w:b/>
                <w:color w:val="2E5395"/>
                <w:sz w:val="21"/>
              </w:rPr>
              <w:t>分</w:t>
            </w:r>
          </w:p>
        </w:tc>
        <w:tc>
          <w:tcPr>
            <w:tcW w:w="6236" w:type="dxa"/>
            <w:shd w:val="clear" w:color="auto" w:fill="F2F5FB"/>
            <w:vAlign w:val="center"/>
          </w:tcPr>
          <w:p w14:paraId="3A6C61A9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办公室、会议室、公共区域设计风格统一连贯，整体感强，无局部合理但整体不协调的情况，得16—20分；较统一，得10—15分；一般，得5—9分；风格杂乱，得0—4分。</w:t>
            </w:r>
          </w:p>
        </w:tc>
      </w:tr>
      <w:tr w14:paraId="6AD21FE8">
        <w:trPr>
          <w:jc w:val="center"/>
        </w:trPr>
        <w:tc>
          <w:tcPr>
            <w:tcW w:w="1814" w:type="dxa"/>
            <w:vAlign w:val="center"/>
          </w:tcPr>
          <w:p w14:paraId="6ADC990A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实际可行性</w:t>
            </w:r>
          </w:p>
        </w:tc>
        <w:tc>
          <w:tcPr>
            <w:tcW w:w="1020" w:type="dxa"/>
            <w:vAlign w:val="center"/>
          </w:tcPr>
          <w:p w14:paraId="4EBC7693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15分</w:t>
            </w:r>
          </w:p>
        </w:tc>
        <w:tc>
          <w:tcPr>
            <w:tcW w:w="6236" w:type="dxa"/>
            <w:vAlign w:val="center"/>
          </w:tcPr>
          <w:p w14:paraId="41ACCB5B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效果图不过度夸张，材料、工艺、尺寸符合实际施工条件，能确保施工后效果与图纸接近，得12—15分；基本可行，得8—11分；可行性一般，得4—7分；明显脱离实际，得0—3分。</w:t>
            </w:r>
          </w:p>
        </w:tc>
      </w:tr>
      <w:tr w14:paraId="719E4A93">
        <w:trPr>
          <w:jc w:val="center"/>
        </w:trPr>
        <w:tc>
          <w:tcPr>
            <w:tcW w:w="1814" w:type="dxa"/>
            <w:shd w:val="clear" w:color="auto" w:fill="F2F5FB"/>
            <w:vAlign w:val="center"/>
          </w:tcPr>
          <w:p w14:paraId="7B292283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b/>
                <w:color w:val="404040"/>
                <w:sz w:val="21"/>
              </w:rPr>
              <w:t>方案理念与文字说明</w:t>
            </w:r>
          </w:p>
        </w:tc>
        <w:tc>
          <w:tcPr>
            <w:tcW w:w="1020" w:type="dxa"/>
            <w:shd w:val="clear" w:color="auto" w:fill="F2F5FB"/>
            <w:vAlign w:val="center"/>
          </w:tcPr>
          <w:p w14:paraId="1A0B2B96">
            <w:pPr>
              <w:spacing w:before="0" w:after="0" w:line="264" w:lineRule="auto"/>
              <w:jc w:val="center"/>
            </w:pPr>
            <w:r>
              <w:rPr>
                <w:rFonts w:ascii="宋体" w:hAnsi="宋体" w:eastAsia="宋体"/>
                <w:b/>
                <w:color w:val="2E5395"/>
                <w:sz w:val="21"/>
              </w:rPr>
              <w:t>10分</w:t>
            </w:r>
          </w:p>
        </w:tc>
        <w:tc>
          <w:tcPr>
            <w:tcW w:w="6236" w:type="dxa"/>
            <w:shd w:val="clear" w:color="auto" w:fill="F2F5FB"/>
            <w:vAlign w:val="center"/>
          </w:tcPr>
          <w:p w14:paraId="424BF704">
            <w:pPr>
              <w:spacing w:before="0" w:after="0" w:line="264" w:lineRule="auto"/>
              <w:jc w:val="left"/>
            </w:pPr>
            <w:r>
              <w:rPr>
                <w:rFonts w:ascii="宋体" w:hAnsi="宋体" w:eastAsia="宋体"/>
                <w:color w:val="404040"/>
                <w:sz w:val="21"/>
              </w:rPr>
              <w:t>设计方案附有清晰的文字说明，理念构思完整，准确表达党建廉洁文化主题和空间功能定位，得8—10分；说明较清楚，得5—7分；说明简单，得3—4分；无说明或表述混乱，得0—2分。</w:t>
            </w:r>
          </w:p>
        </w:tc>
      </w:tr>
    </w:tbl>
    <w:p w14:paraId="1FBC8837">
      <w:pPr>
        <w:pBdr>
          <w:bottom w:val="single" w:color="2E5395" w:sz="14" w:space="4"/>
        </w:pBdr>
        <w:spacing w:before="260" w:after="120" w:line="300" w:lineRule="auto"/>
        <w:rPr>
          <w:rFonts w:ascii="微软雅黑" w:hAnsi="微软雅黑" w:eastAsia="微软雅黑"/>
          <w:b/>
          <w:color w:val="1F3864"/>
          <w:sz w:val="28"/>
        </w:rPr>
      </w:pPr>
      <w:r>
        <w:rPr>
          <w:rFonts w:ascii="微软雅黑" w:hAnsi="微软雅黑" w:eastAsia="微软雅黑"/>
          <w:b/>
          <w:color w:val="1F3864"/>
          <w:sz w:val="28"/>
        </w:rPr>
        <w:t>三、</w:t>
      </w:r>
      <w:r>
        <w:rPr>
          <w:rFonts w:hint="default" w:ascii="微软雅黑" w:hAnsi="微软雅黑" w:eastAsia="微软雅黑"/>
          <w:b/>
          <w:color w:val="1F3864"/>
          <w:sz w:val="28"/>
        </w:rPr>
        <w:t>符合性审查条件（不计分）</w:t>
      </w:r>
    </w:p>
    <w:p w14:paraId="76FB267D">
      <w:pPr>
        <w:spacing w:before="20" w:after="80" w:line="312" w:lineRule="auto"/>
        <w:ind w:left="420" w:hanging="420"/>
        <w:rPr>
          <w:rFonts w:ascii="宋体" w:hAnsi="宋体" w:eastAsia="宋体"/>
          <w:color w:val="404040"/>
          <w:sz w:val="22"/>
        </w:rPr>
      </w:pPr>
      <w:r>
        <w:rPr>
          <w:rFonts w:ascii="宋体" w:hAnsi="宋体" w:eastAsia="宋体"/>
          <w:color w:val="404040"/>
          <w:sz w:val="22"/>
        </w:rPr>
        <w:t>总报价不超过15万元；</w:t>
      </w:r>
    </w:p>
    <w:p w14:paraId="0F152A19">
      <w:pPr>
        <w:spacing w:before="20" w:after="80" w:line="312" w:lineRule="auto"/>
        <w:ind w:left="420" w:hanging="420"/>
        <w:rPr>
          <w:rFonts w:ascii="宋体" w:hAnsi="宋体" w:eastAsia="宋体"/>
          <w:color w:val="404040"/>
          <w:sz w:val="22"/>
        </w:rPr>
      </w:pPr>
      <w:r>
        <w:rPr>
          <w:rFonts w:hint="default" w:ascii="宋体" w:hAnsi="宋体" w:eastAsia="宋体"/>
          <w:color w:val="404040"/>
          <w:sz w:val="22"/>
        </w:rPr>
        <w:t>分项报价明细完整，无重大漏项；</w:t>
      </w:r>
    </w:p>
    <w:p w14:paraId="2C35B2B5">
      <w:pPr>
        <w:spacing w:before="20" w:after="80" w:line="312" w:lineRule="auto"/>
        <w:ind w:left="420" w:hanging="420"/>
        <w:rPr>
          <w:rFonts w:ascii="宋体" w:hAnsi="宋体" w:eastAsia="宋体"/>
          <w:color w:val="404040"/>
          <w:sz w:val="22"/>
        </w:rPr>
      </w:pPr>
      <w:r>
        <w:rPr>
          <w:rFonts w:hint="default" w:ascii="宋体" w:hAnsi="宋体" w:eastAsia="宋体"/>
          <w:color w:val="404040"/>
          <w:sz w:val="22"/>
        </w:rPr>
        <w:t>承诺2026年9月25日前完成全部建设内容并通过验收；</w:t>
      </w:r>
    </w:p>
    <w:p w14:paraId="0B6F3EB4">
      <w:pPr>
        <w:spacing w:before="20" w:after="80" w:line="312" w:lineRule="auto"/>
        <w:ind w:left="420" w:hanging="420"/>
        <w:rPr>
          <w:rFonts w:ascii="宋体" w:hAnsi="宋体" w:eastAsia="宋体"/>
          <w:color w:val="404040"/>
          <w:sz w:val="22"/>
        </w:rPr>
      </w:pPr>
      <w:r>
        <w:rPr>
          <w:rFonts w:hint="default" w:ascii="宋体" w:hAnsi="宋体" w:eastAsia="宋体"/>
          <w:color w:val="404040"/>
          <w:sz w:val="22"/>
        </w:rPr>
        <w:t>响应文件按要求提供齐全。</w:t>
      </w:r>
    </w:p>
    <w:p w14:paraId="58BC2C74">
      <w:pPr>
        <w:spacing w:before="20" w:after="80" w:line="312" w:lineRule="auto"/>
        <w:ind w:left="420" w:hanging="420"/>
        <w:rPr>
          <w:rFonts w:hint="default" w:ascii="宋体" w:hAnsi="宋体" w:eastAsia="宋体"/>
          <w:color w:val="404040"/>
          <w:sz w:val="22"/>
        </w:rPr>
      </w:pPr>
      <w:r>
        <w:rPr>
          <w:rFonts w:hint="default" w:ascii="宋体" w:hAnsi="宋体" w:eastAsia="宋体"/>
          <w:color w:val="404040"/>
          <w:sz w:val="22"/>
        </w:rPr>
        <w:t>不符合上述任一条件的，作无效响应处理，不进入评分环节。</w:t>
      </w:r>
    </w:p>
    <w:p w14:paraId="38C27418">
      <w:pPr>
        <w:pBdr>
          <w:bottom w:val="single" w:color="2E5395" w:sz="14" w:space="4"/>
        </w:pBdr>
        <w:spacing w:before="260" w:after="120" w:line="300" w:lineRule="auto"/>
      </w:pPr>
      <w:r>
        <w:rPr>
          <w:rFonts w:hint="eastAsia" w:ascii="微软雅黑" w:hAnsi="微软雅黑" w:eastAsia="微软雅黑"/>
          <w:b/>
          <w:color w:val="1F3864"/>
          <w:sz w:val="28"/>
          <w:lang w:val="en-US" w:eastAsia="zh-CN"/>
        </w:rPr>
        <w:t>四、</w:t>
      </w:r>
      <w:r>
        <w:rPr>
          <w:rFonts w:ascii="微软雅黑" w:hAnsi="微软雅黑" w:eastAsia="微软雅黑"/>
          <w:b/>
          <w:color w:val="1F3864"/>
          <w:sz w:val="28"/>
        </w:rPr>
        <w:t>评分方法</w:t>
      </w:r>
    </w:p>
    <w:p w14:paraId="3B3790BB">
      <w:pPr>
        <w:spacing w:before="20" w:after="80" w:line="312" w:lineRule="auto"/>
        <w:ind w:left="420" w:hanging="420"/>
      </w:pPr>
      <w:r>
        <w:rPr>
          <w:rFonts w:ascii="微软雅黑" w:hAnsi="微软雅黑" w:eastAsia="微软雅黑"/>
          <w:b/>
          <w:color w:val="2E5395"/>
          <w:sz w:val="22"/>
        </w:rPr>
        <w:t xml:space="preserve">1. </w:t>
      </w:r>
      <w:r>
        <w:rPr>
          <w:rFonts w:ascii="宋体" w:hAnsi="宋体" w:eastAsia="宋体"/>
          <w:color w:val="404040"/>
          <w:sz w:val="22"/>
        </w:rPr>
        <w:t>每位磋商小组成员独立打分，各分项取平均分后汇总为供应商最终得分。</w:t>
      </w:r>
    </w:p>
    <w:p w14:paraId="7798662C">
      <w:pPr>
        <w:spacing w:before="20" w:after="80" w:line="312" w:lineRule="auto"/>
        <w:ind w:left="420" w:hanging="420"/>
      </w:pPr>
      <w:r>
        <w:rPr>
          <w:rFonts w:ascii="微软雅黑" w:hAnsi="微软雅黑" w:eastAsia="微软雅黑"/>
          <w:b/>
          <w:color w:val="2E5395"/>
          <w:sz w:val="22"/>
        </w:rPr>
        <w:t xml:space="preserve">2. </w:t>
      </w:r>
      <w:r>
        <w:rPr>
          <w:rFonts w:ascii="宋体" w:hAnsi="宋体" w:eastAsia="宋体"/>
          <w:color w:val="404040"/>
          <w:sz w:val="22"/>
        </w:rPr>
        <w:t>按最终得分由高到低排序，得分最高者为第一成交候选人。</w:t>
      </w:r>
    </w:p>
    <w:p w14:paraId="1524C4F1">
      <w:pPr>
        <w:spacing w:before="20" w:after="80" w:line="312" w:lineRule="auto"/>
        <w:ind w:left="420" w:hanging="420"/>
      </w:pPr>
      <w:r>
        <w:rPr>
          <w:rFonts w:ascii="微软雅黑" w:hAnsi="微软雅黑" w:eastAsia="微软雅黑"/>
          <w:b/>
          <w:color w:val="2E5395"/>
          <w:sz w:val="22"/>
        </w:rPr>
        <w:t xml:space="preserve">3. </w:t>
      </w:r>
      <w:r>
        <w:rPr>
          <w:rFonts w:ascii="宋体" w:hAnsi="宋体" w:eastAsia="宋体"/>
          <w:color w:val="404040"/>
          <w:sz w:val="22"/>
        </w:rPr>
        <w:t>如出现并列，以技术设计部分得分高者优先；仍相同，以报价合理性得分高者优先。</w:t>
      </w:r>
    </w:p>
    <w:p w14:paraId="6FF5CB10">
      <w:pPr>
        <w:spacing w:before="20" w:after="80" w:line="312" w:lineRule="auto"/>
        <w:ind w:left="420" w:hanging="420"/>
      </w:pPr>
      <w:r>
        <w:rPr>
          <w:rFonts w:ascii="微软雅黑" w:hAnsi="微软雅黑" w:eastAsia="微软雅黑"/>
          <w:b/>
          <w:color w:val="2E5395"/>
          <w:sz w:val="22"/>
        </w:rPr>
        <w:t xml:space="preserve">4. </w:t>
      </w:r>
      <w:r>
        <w:rPr>
          <w:rFonts w:ascii="宋体" w:hAnsi="宋体" w:eastAsia="宋体"/>
          <w:color w:val="404040"/>
          <w:sz w:val="22"/>
        </w:rPr>
        <w:t>评审全过程记录留痕，打分表、汇总表由磋商小组成员签字确认。</w:t>
      </w:r>
    </w:p>
    <w:p w14:paraId="1C77DFF3">
      <w:pPr>
        <w:pBdr>
          <w:bottom w:val="single" w:color="2E5395" w:sz="14" w:space="4"/>
        </w:pBdr>
        <w:spacing w:before="260" w:after="120" w:line="300" w:lineRule="auto"/>
      </w:pPr>
      <w:r>
        <w:rPr>
          <w:rFonts w:hint="eastAsia" w:ascii="微软雅黑" w:hAnsi="微软雅黑" w:eastAsia="微软雅黑"/>
          <w:b/>
          <w:color w:val="1F3864"/>
          <w:sz w:val="28"/>
          <w:lang w:val="en-US" w:eastAsia="zh-CN"/>
        </w:rPr>
        <w:t>五</w:t>
      </w:r>
      <w:r>
        <w:rPr>
          <w:rFonts w:ascii="微软雅黑" w:hAnsi="微软雅黑" w:eastAsia="微软雅黑"/>
          <w:b/>
          <w:color w:val="1F3864"/>
          <w:sz w:val="28"/>
        </w:rPr>
        <w:t>、调整说明</w:t>
      </w:r>
    </w:p>
    <w:p w14:paraId="2641ADCA">
      <w:pPr>
        <w:pBdr>
          <w:top w:val="single" w:color="C9D3E5" w:sz="6" w:space="6"/>
          <w:left w:val="single" w:color="C9D3E5" w:sz="6" w:space="6"/>
          <w:bottom w:val="single" w:color="C9D3E5" w:sz="6" w:space="6"/>
          <w:right w:val="single" w:color="C9D3E5" w:sz="6" w:space="6"/>
        </w:pBdr>
        <w:shd w:val="clear" w:color="auto" w:fill="F2F5FB"/>
        <w:spacing w:before="80" w:after="160" w:line="312" w:lineRule="auto"/>
      </w:pPr>
      <w:r>
        <w:rPr>
          <w:rFonts w:ascii="微软雅黑" w:hAnsi="微软雅黑" w:eastAsia="微软雅黑"/>
          <w:b/>
          <w:color w:val="2E5395"/>
          <w:sz w:val="21"/>
        </w:rPr>
        <w:t xml:space="preserve">调整说明  </w:t>
      </w:r>
      <w:r>
        <w:rPr>
          <w:rFonts w:ascii="宋体" w:hAnsi="宋体" w:eastAsia="宋体"/>
          <w:color w:val="404040"/>
          <w:sz w:val="21"/>
        </w:rPr>
        <w:t>取消“类似业绩”评分项后，商务资信总分由25分调整为15分，技术设计总分由75分调整为85分，总分仍为100分。调整后评审重心进一步向设计方案倾斜，同时通过“经营稳定性”保留对企业基本履约能力的考察，兼顾公平与实效。</w:t>
      </w:r>
    </w:p>
    <w:sectPr>
      <w:footerReference r:id="rId5" w:type="default"/>
      <w:pgSz w:w="12240" w:h="15840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altName w:val="方正雅意黑 GB18030L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C859D">
    <w:pPr>
      <w:pStyle w:val="24"/>
      <w:jc w:val="center"/>
    </w:pPr>
    <w:r>
      <w:rPr>
        <w:rFonts w:ascii="宋体" w:hAnsi="宋体" w:eastAsia="宋体"/>
        <w:color w:val="9A9A9A"/>
        <w:sz w:val="16"/>
      </w:rPr>
      <w:t>襄阳市物流协会 · 廉洁文化阵地建设项目竞争性磋商评分表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3FFA512"/>
    <w:rsid w:val="77BAAD50"/>
    <w:rsid w:val="7D9D0671"/>
    <w:rsid w:val="9BFAAF15"/>
    <w:rsid w:val="EBFFE6E1"/>
    <w:rsid w:val="FB7FD6B4"/>
    <w:rsid w:val="FFFA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uiPriority w:val="1"/>
  </w:style>
  <w:style w:type="table" w:default="1" w:styleId="3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rPr>
      <w:sz w:val="24"/>
    </w:r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uiPriority w:val="99"/>
  </w:style>
  <w:style w:type="character" w:customStyle="1" w:styleId="137">
    <w:name w:val="Footer Char"/>
    <w:basedOn w:val="133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8"/>
    <w:uiPriority w:val="99"/>
  </w:style>
  <w:style w:type="character" w:customStyle="1" w:styleId="147">
    <w:name w:val="Body Text 3 Char"/>
    <w:basedOn w:val="133"/>
    <w:link w:val="17"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雨菲爸爸</cp:lastModifiedBy>
  <dcterms:modified xsi:type="dcterms:W3CDTF">2026-08-20T14:06:20Z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6D3A35829C8EB9B1D498866A4015022B_42</vt:lpwstr>
  </property>
</Properties>
</file>